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“Caratteristiche minime e quantità richieste” compilato</w:t>
      </w:r>
    </w:p>
    <w:p w:rsidR="009D2239" w:rsidRDefault="009D2239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 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  <w:r w:rsidR="00004363" w:rsidRPr="00004363">
        <w:t xml:space="preserve"> </w:t>
      </w:r>
      <w:r w:rsidR="00004363" w:rsidRPr="00004363">
        <w:rPr>
          <w:rFonts w:ascii="Arial"/>
          <w:b/>
        </w:rPr>
        <w:t>5994238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  <w:r w:rsidR="00004363" w:rsidRPr="00004363">
        <w:rPr>
          <w:rFonts w:ascii="Arial"/>
          <w:b/>
        </w:rPr>
        <w:t xml:space="preserve"> SODIO CLORURO 0,9% FLACONE VETRO 500ML</w:t>
      </w:r>
      <w:bookmarkStart w:id="0" w:name="_GoBack"/>
      <w:bookmarkEnd w:id="0"/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lastRenderedPageBreak/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04363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4FE4-E50B-472A-A948-7994AD3D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12</cp:revision>
  <dcterms:created xsi:type="dcterms:W3CDTF">2024-01-30T09:38:00Z</dcterms:created>
  <dcterms:modified xsi:type="dcterms:W3CDTF">2026-01-22T08:29:00Z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